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B0" w:rsidRPr="00FA519F" w:rsidRDefault="00FA519F">
      <w:pPr>
        <w:rPr>
          <w:rFonts w:ascii="Times New Roman" w:hAnsi="Times New Roman" w:cs="Times New Roman"/>
          <w:sz w:val="28"/>
          <w:szCs w:val="28"/>
        </w:rPr>
      </w:pPr>
      <w:bookmarkStart w:id="0" w:name="_GoBack"/>
      <w:r w:rsidRPr="00FA519F">
        <w:rPr>
          <w:rFonts w:ascii="Times New Roman" w:hAnsi="Times New Roman" w:cs="Times New Roman"/>
          <w:sz w:val="28"/>
          <w:szCs w:val="28"/>
        </w:rPr>
        <w:t xml:space="preserve">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 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 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 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 Вступившие в силу 17 мая 2011 г. изменения, внесенные в Уголовный кодекс Российской Федерации (далее – УК РФ), </w:t>
      </w:r>
      <w:r w:rsidRPr="00FA519F">
        <w:rPr>
          <w:rFonts w:ascii="Times New Roman" w:hAnsi="Times New Roman" w:cs="Times New Roman"/>
          <w:sz w:val="28"/>
          <w:szCs w:val="28"/>
        </w:rPr>
        <w:lastRenderedPageBreak/>
        <w:t xml:space="preserve">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 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 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 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 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 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 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 </w:t>
      </w:r>
      <w:r w:rsidRPr="00FA519F">
        <w:rPr>
          <w:rFonts w:ascii="Times New Roman" w:hAnsi="Times New Roman" w:cs="Times New Roman"/>
          <w:sz w:val="28"/>
          <w:szCs w:val="28"/>
        </w:rPr>
        <w:lastRenderedPageBreak/>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 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 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 Мероприятия, включенные в комплекс мер, рекомендуется осуществлять по следующим направлениям: 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w:t>
      </w:r>
      <w:r w:rsidRPr="00FA519F">
        <w:rPr>
          <w:rFonts w:ascii="Times New Roman" w:hAnsi="Times New Roman" w:cs="Times New Roman"/>
          <w:sz w:val="28"/>
          <w:szCs w:val="28"/>
        </w:rPr>
        <w:lastRenderedPageBreak/>
        <w:t xml:space="preserve">установленных в целях противодействия коррупции; 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 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Основными задачами осуществления комплекса мер являются: 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 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 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Реализацию данного направления рекомендуется осуществлять посредством: проведения серии учебно-практических семинаров (тренингов);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1.1. В рамках серии учебно-практических семинаров является целесообразным рассмотрение следующих вопросов. 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w:t>
      </w:r>
      <w:r w:rsidRPr="00FA519F">
        <w:rPr>
          <w:rFonts w:ascii="Times New Roman" w:hAnsi="Times New Roman" w:cs="Times New Roman"/>
          <w:sz w:val="28"/>
          <w:szCs w:val="28"/>
        </w:rPr>
        <w:lastRenderedPageBreak/>
        <w:t xml:space="preserve">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 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 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 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 6) Исторические материалы </w:t>
      </w:r>
      <w:r w:rsidRPr="00FA519F">
        <w:rPr>
          <w:rFonts w:ascii="Times New Roman" w:hAnsi="Times New Roman" w:cs="Times New Roman"/>
          <w:sz w:val="28"/>
          <w:szCs w:val="28"/>
        </w:rPr>
        <w:lastRenderedPageBreak/>
        <w:t xml:space="preserve">по вышеуказанным вопросам, изложенным в Своде законов Российской Империи (Том III). 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 Так в частности предлагается подготовить памятки для служащих и работников по следующим вопросам: 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 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 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 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 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 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 В части организации семинаров (бесед, лекций, практических занятий) необходимо рассмотреть следующие вопросы. 1) Порядок уведомления служащего и работника о фактах склонения к совершению коррупционного правонарушения. В ходе семинара, требуется: 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 б) указать служащим и работникам на то, что уведомление обо всех ситуациях склонения к коррупционным правонарушениям может привести к </w:t>
      </w:r>
      <w:r w:rsidRPr="00FA519F">
        <w:rPr>
          <w:rFonts w:ascii="Times New Roman" w:hAnsi="Times New Roman" w:cs="Times New Roman"/>
          <w:sz w:val="28"/>
          <w:szCs w:val="28"/>
        </w:rPr>
        <w:lastRenderedPageBreak/>
        <w:t xml:space="preserve">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 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 2) Порядок урегулирования конфликта интересов. В ходе семинара, необходимо: 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 в) обсудить со служащими и работниками типовые ситуации конфликта интересов и порядок уведомления о возникновении личной заинтересованности. 3) Действия и высказывания, которые могут быть восприняты окружающими как согласие принять взятку или как просьба о даче взятки. В ходе семинара, является целесообразным, в частности: 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 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 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 К числу таких тем относятся, например: низкий уровень заработной платы служащего, работника и нехватка денежных средств на реализацию тех или иных нужд; желание приобрести то или иное имущество, получить ту или иную услугу, отправиться в туристическую </w:t>
      </w:r>
      <w:r w:rsidRPr="00FA519F">
        <w:rPr>
          <w:rFonts w:ascii="Times New Roman" w:hAnsi="Times New Roman" w:cs="Times New Roman"/>
          <w:sz w:val="28"/>
          <w:szCs w:val="28"/>
        </w:rPr>
        <w:lastRenderedPageBreak/>
        <w:t xml:space="preserve">поездку; отсутствие работы у родственников служащего, работника; необходимость поступления детей служащего, работника в образовательные учреждения и т.д. 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 К числу таких предложений относятся, например предложения: предоставить служащему, работнику и/или его родственникам скидку;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внести деньги в конкретный благотворительный фонд; поддержать конкретную спортивную команду и т.д. 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 К числу таких действий относятся, например: регулярное получение подарков, даже (если речь идет не о государственном гражданском служащем) стоимостью менее 3000 рублей;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 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 2) о типовых случаях конфликтов интересов и порядок их урегулирования; 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 III.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 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 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w:t>
      </w:r>
      <w:r w:rsidRPr="00FA519F">
        <w:rPr>
          <w:rFonts w:ascii="Times New Roman" w:hAnsi="Times New Roman" w:cs="Times New Roman"/>
          <w:sz w:val="28"/>
          <w:szCs w:val="28"/>
        </w:rPr>
        <w:lastRenderedPageBreak/>
        <w:t xml:space="preserve">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 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 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 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 В связи с этим необходимо, в частности: закрепить требования о конфиденциальности информации о личности заявителя; установить режим доступа к журналу входящей корреспонденции, содержащему данные, позволяющие идентифицировать личность заявителя;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IV.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В число мер по реализации данного направления необходимо включить следующие. 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 дача взятки должностному лицу наказывается лишением свободы.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государственному </w:t>
      </w:r>
      <w:r w:rsidRPr="00FA519F">
        <w:rPr>
          <w:rFonts w:ascii="Times New Roman" w:hAnsi="Times New Roman" w:cs="Times New Roman"/>
          <w:sz w:val="28"/>
          <w:szCs w:val="28"/>
        </w:rPr>
        <w:lastRenderedPageBreak/>
        <w:t>служащему запрещается принимать подарки в связи с исполнением служебных обязанностей вне зависимости от стоимости подарка. 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 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 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bookmarkEnd w:id="0"/>
    </w:p>
    <w:sectPr w:rsidR="003E55B0" w:rsidRPr="00FA5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FE"/>
    <w:rsid w:val="003E55B0"/>
    <w:rsid w:val="00A44EFE"/>
    <w:rsid w:val="00FA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6ED7-3AD2-42CF-B1E9-4ADEF7B4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3928</Words>
  <Characters>22396</Characters>
  <Application>Microsoft Office Word</Application>
  <DocSecurity>0</DocSecurity>
  <Lines>186</Lines>
  <Paragraphs>52</Paragraphs>
  <ScaleCrop>false</ScaleCrop>
  <Company/>
  <LinksUpToDate>false</LinksUpToDate>
  <CharactersWithSpaces>26272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лпрпр</dc:creator>
  <cp:keywords/>
  <dc:description/>
  <cp:lastModifiedBy>лпрпр</cp:lastModifiedBy>
  <cp:revision>3</cp:revision>
  <dcterms:created xsi:type="dcterms:W3CDTF">2016-05-26T23:54:00Z</dcterms:created>
  <dcterms:modified xsi:type="dcterms:W3CDTF">2016-05-26T23:54:00Z</dcterms:modified>
</cp:coreProperties>
</file>